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rPr>
          <w:rFonts w:hint="default" w:eastAsia="Calibri" w:cstheme="minorHAnsi"/>
          <w:sz w:val="24"/>
          <w:szCs w:val="24"/>
          <w:lang w:val="bs-Latn-BA"/>
        </w:rPr>
      </w:pPr>
      <w:r>
        <w:rPr>
          <w:rFonts w:hint="default" w:eastAsia="Calibri" w:cstheme="minorHAnsi"/>
          <w:sz w:val="24"/>
          <w:szCs w:val="24"/>
          <w:lang w:val="bs-Latn-BA"/>
        </w:rPr>
        <w:t>NACRT</w:t>
      </w:r>
    </w:p>
    <w:p>
      <w:pPr>
        <w:spacing w:after="0" w:line="240" w:lineRule="auto"/>
        <w:rPr>
          <w:rFonts w:eastAsia="Calibri" w:cstheme="minorHAnsi"/>
          <w:sz w:val="24"/>
          <w:szCs w:val="24"/>
        </w:rPr>
      </w:pPr>
    </w:p>
    <w:p>
      <w:pPr>
        <w:spacing w:after="0" w:line="240" w:lineRule="auto"/>
        <w:rPr>
          <w:rFonts w:eastAsia="Calibri" w:cstheme="minorHAnsi"/>
          <w:sz w:val="24"/>
          <w:szCs w:val="24"/>
        </w:rPr>
      </w:pPr>
    </w:p>
    <w:p>
      <w:pPr>
        <w:spacing w:after="0" w:line="240" w:lineRule="auto"/>
        <w:rPr>
          <w:rFonts w:eastAsia="Calibri" w:cstheme="minorHAnsi"/>
          <w:sz w:val="24"/>
          <w:szCs w:val="24"/>
        </w:rPr>
      </w:pPr>
    </w:p>
    <w:p>
      <w:pPr>
        <w:spacing w:after="0" w:line="240" w:lineRule="auto"/>
        <w:jc w:val="center"/>
        <w:rPr>
          <w:rFonts w:eastAsia="Calibri" w:cstheme="minorHAnsi"/>
          <w:b/>
          <w:sz w:val="48"/>
          <w:szCs w:val="48"/>
        </w:rPr>
      </w:pPr>
    </w:p>
    <w:p>
      <w:pPr>
        <w:spacing w:after="0" w:line="240" w:lineRule="auto"/>
        <w:jc w:val="center"/>
        <w:rPr>
          <w:rFonts w:eastAsia="Calibri" w:cstheme="minorHAnsi"/>
          <w:b/>
          <w:sz w:val="48"/>
          <w:szCs w:val="48"/>
        </w:rPr>
      </w:pPr>
    </w:p>
    <w:p>
      <w:pPr>
        <w:spacing w:after="0" w:line="240" w:lineRule="auto"/>
        <w:jc w:val="center"/>
        <w:rPr>
          <w:rFonts w:eastAsia="Calibri" w:cstheme="minorHAnsi"/>
          <w:b/>
          <w:sz w:val="48"/>
          <w:szCs w:val="48"/>
        </w:rPr>
      </w:pPr>
    </w:p>
    <w:p>
      <w:pPr>
        <w:spacing w:after="0" w:line="240" w:lineRule="auto"/>
        <w:jc w:val="center"/>
        <w:rPr>
          <w:rFonts w:eastAsia="Calibri" w:cstheme="minorHAnsi"/>
          <w:b/>
          <w:sz w:val="48"/>
          <w:szCs w:val="48"/>
        </w:rPr>
      </w:pPr>
    </w:p>
    <w:p>
      <w:pPr>
        <w:pBdr>
          <w:bottom w:val="single" w:color="4F81BD" w:themeColor="accent1" w:sz="8" w:space="4"/>
        </w:pBdr>
        <w:spacing w:after="300" w:line="240" w:lineRule="auto"/>
        <w:contextualSpacing/>
        <w:jc w:val="center"/>
        <w:rPr>
          <w:rFonts w:asciiTheme="majorHAnsi" w:hAnsiTheme="majorHAnsi" w:eastAsiaTheme="majorEastAsia" w:cstheme="majorBidi"/>
          <w:b/>
          <w:color w:val="17375E" w:themeColor="text2" w:themeShade="BF"/>
          <w:spacing w:val="5"/>
          <w:kern w:val="28"/>
          <w:sz w:val="52"/>
          <w:szCs w:val="52"/>
        </w:rPr>
      </w:pPr>
    </w:p>
    <w:p>
      <w:pPr>
        <w:pBdr>
          <w:bottom w:val="single" w:color="4F81BD" w:themeColor="accent1" w:sz="8" w:space="4"/>
        </w:pBdr>
        <w:spacing w:after="300" w:line="240" w:lineRule="auto"/>
        <w:contextualSpacing/>
        <w:jc w:val="center"/>
        <w:rPr>
          <w:rFonts w:asciiTheme="majorHAnsi" w:hAnsiTheme="majorHAnsi" w:eastAsiaTheme="majorEastAsia" w:cstheme="majorBidi"/>
          <w:b/>
          <w:color w:val="17375E" w:themeColor="text2" w:themeShade="BF"/>
          <w:spacing w:val="5"/>
          <w:kern w:val="28"/>
          <w:sz w:val="52"/>
          <w:szCs w:val="52"/>
        </w:rPr>
      </w:pPr>
    </w:p>
    <w:p>
      <w:pPr>
        <w:pBdr>
          <w:bottom w:val="single" w:color="4F81BD" w:themeColor="accent1" w:sz="8" w:space="4"/>
        </w:pBdr>
        <w:spacing w:after="300" w:line="240" w:lineRule="auto"/>
        <w:contextualSpacing/>
        <w:jc w:val="center"/>
        <w:rPr>
          <w:rFonts w:asciiTheme="majorHAnsi" w:hAnsiTheme="majorHAnsi" w:eastAsiaTheme="majorEastAsia" w:cstheme="majorBidi"/>
          <w:b/>
          <w:color w:val="17375E" w:themeColor="text2" w:themeShade="BF"/>
          <w:spacing w:val="5"/>
          <w:kern w:val="28"/>
          <w:sz w:val="40"/>
          <w:szCs w:val="40"/>
        </w:rPr>
      </w:pPr>
      <w:r>
        <w:rPr>
          <w:rFonts w:asciiTheme="majorHAnsi" w:hAnsiTheme="majorHAnsi" w:eastAsiaTheme="majorEastAsia" w:cstheme="majorBidi"/>
          <w:b/>
          <w:color w:val="17375E" w:themeColor="text2" w:themeShade="BF"/>
          <w:spacing w:val="5"/>
          <w:kern w:val="28"/>
          <w:sz w:val="40"/>
          <w:szCs w:val="40"/>
        </w:rPr>
        <w:t xml:space="preserve">FINANSIJSKI PLAN </w:t>
      </w:r>
    </w:p>
    <w:p>
      <w:pPr>
        <w:pBdr>
          <w:bottom w:val="single" w:color="4F81BD" w:themeColor="accent1" w:sz="8" w:space="4"/>
        </w:pBdr>
        <w:spacing w:after="300" w:line="240" w:lineRule="auto"/>
        <w:contextualSpacing/>
        <w:jc w:val="center"/>
        <w:rPr>
          <w:rFonts w:asciiTheme="majorHAnsi" w:hAnsiTheme="majorHAnsi" w:eastAsiaTheme="majorEastAsia" w:cstheme="majorBidi"/>
          <w:b/>
          <w:color w:val="17375E" w:themeColor="text2" w:themeShade="BF"/>
          <w:spacing w:val="5"/>
          <w:kern w:val="28"/>
          <w:sz w:val="40"/>
          <w:szCs w:val="40"/>
        </w:rPr>
      </w:pPr>
      <w:r>
        <w:rPr>
          <w:rFonts w:asciiTheme="majorHAnsi" w:hAnsiTheme="majorHAnsi" w:eastAsiaTheme="majorEastAsia" w:cstheme="majorBidi"/>
          <w:b/>
          <w:color w:val="17375E" w:themeColor="text2" w:themeShade="BF"/>
          <w:spacing w:val="5"/>
          <w:kern w:val="28"/>
          <w:sz w:val="40"/>
          <w:szCs w:val="40"/>
        </w:rPr>
        <w:t xml:space="preserve"> UDRUŽENJA SEKRETARA OSNOVNIH ŠKOLA TK</w:t>
      </w:r>
    </w:p>
    <w:p>
      <w:pPr>
        <w:pBdr>
          <w:bottom w:val="single" w:color="4F81BD" w:themeColor="accent1" w:sz="8" w:space="4"/>
        </w:pBdr>
        <w:spacing w:after="300" w:line="240" w:lineRule="auto"/>
        <w:contextualSpacing/>
        <w:jc w:val="center"/>
        <w:rPr>
          <w:rFonts w:asciiTheme="majorHAnsi" w:hAnsiTheme="majorHAnsi" w:eastAsiaTheme="majorEastAsia" w:cstheme="majorBidi"/>
          <w:b/>
          <w:color w:val="17375E" w:themeColor="text2" w:themeShade="BF"/>
          <w:spacing w:val="5"/>
          <w:kern w:val="28"/>
          <w:sz w:val="40"/>
          <w:szCs w:val="40"/>
        </w:rPr>
      </w:pPr>
      <w:r>
        <w:rPr>
          <w:rFonts w:asciiTheme="majorHAnsi" w:hAnsiTheme="majorHAnsi" w:eastAsiaTheme="majorEastAsia" w:cstheme="majorBidi"/>
          <w:b/>
          <w:color w:val="17375E" w:themeColor="text2" w:themeShade="BF"/>
          <w:spacing w:val="5"/>
          <w:kern w:val="28"/>
          <w:sz w:val="40"/>
          <w:szCs w:val="40"/>
        </w:rPr>
        <w:t>TUZLA ZA 2023. GODINU</w:t>
      </w:r>
    </w:p>
    <w:p>
      <w:pPr>
        <w:rPr>
          <w:rFonts w:ascii="Calibri" w:hAnsi="Calibri" w:eastAsia="Calibri" w:cs="Times New Roman"/>
        </w:rPr>
      </w:pPr>
    </w:p>
    <w:p>
      <w:pPr>
        <w:rPr>
          <w:rFonts w:ascii="Calibri" w:hAnsi="Calibri" w:eastAsia="Calibri" w:cs="Times New Roman"/>
        </w:rPr>
      </w:pPr>
    </w:p>
    <w:p>
      <w:pPr>
        <w:jc w:val="center"/>
        <w:rPr>
          <w:rFonts w:ascii="Calibri" w:hAnsi="Calibri" w:eastAsia="Calibri" w:cs="Times New Roman"/>
          <w:b/>
        </w:rPr>
      </w:pPr>
    </w:p>
    <w:p>
      <w:pPr>
        <w:jc w:val="center"/>
        <w:rPr>
          <w:rFonts w:ascii="Calibri" w:hAnsi="Calibri" w:eastAsia="Calibri" w:cs="Times New Roman"/>
          <w:b/>
        </w:rPr>
      </w:pPr>
    </w:p>
    <w:p>
      <w:pPr>
        <w:rPr>
          <w:rFonts w:ascii="Calibri" w:hAnsi="Calibri" w:eastAsia="Calibri" w:cs="Times New Roman"/>
          <w:b/>
        </w:rPr>
      </w:pPr>
    </w:p>
    <w:p>
      <w:pPr>
        <w:jc w:val="center"/>
        <w:rPr>
          <w:rFonts w:ascii="Calibri" w:hAnsi="Calibri" w:eastAsia="Calibri" w:cs="Times New Roman"/>
          <w:b/>
        </w:rPr>
      </w:pPr>
    </w:p>
    <w:p>
      <w:pPr>
        <w:jc w:val="center"/>
        <w:rPr>
          <w:rFonts w:ascii="Calibri" w:hAnsi="Calibri" w:eastAsia="Calibri" w:cs="Times New Roman"/>
          <w:b/>
        </w:rPr>
      </w:pPr>
    </w:p>
    <w:p>
      <w:pPr>
        <w:jc w:val="center"/>
        <w:rPr>
          <w:rFonts w:ascii="Calibri" w:hAnsi="Calibri" w:eastAsia="Calibri" w:cs="Times New Roman"/>
          <w:b/>
        </w:rPr>
      </w:pPr>
    </w:p>
    <w:p>
      <w:pPr>
        <w:jc w:val="center"/>
        <w:rPr>
          <w:rFonts w:ascii="Calibri" w:hAnsi="Calibri" w:eastAsia="Calibri" w:cs="Times New Roman"/>
          <w:b/>
        </w:rPr>
      </w:pPr>
    </w:p>
    <w:p>
      <w:pPr>
        <w:rPr>
          <w:rFonts w:ascii="Calibri" w:hAnsi="Calibri" w:eastAsia="Calibri" w:cs="Times New Roman"/>
          <w:b/>
        </w:rPr>
      </w:pPr>
    </w:p>
    <w:p>
      <w:pPr>
        <w:jc w:val="center"/>
        <w:rPr>
          <w:rFonts w:ascii="Calibri" w:hAnsi="Calibri" w:eastAsia="Calibri" w:cs="Times New Roman"/>
          <w:b/>
        </w:rPr>
      </w:pPr>
    </w:p>
    <w:p>
      <w:pPr>
        <w:shd w:val="clear" w:color="auto" w:fill="D8D8D8" w:themeFill="background1" w:themeFillShade="D9"/>
        <w:jc w:val="center"/>
        <w:rPr>
          <w:rFonts w:ascii="Calibri" w:hAnsi="Calibri" w:eastAsia="Calibri" w:cs="Times New Roman"/>
          <w:b/>
        </w:rPr>
      </w:pPr>
      <w:r>
        <w:rPr>
          <w:rFonts w:ascii="Calibri" w:hAnsi="Calibri" w:eastAsia="Calibri" w:cs="Times New Roman"/>
          <w:b/>
        </w:rPr>
        <w:t xml:space="preserve">Tuzla, </w:t>
      </w:r>
      <w:r>
        <w:rPr>
          <w:rFonts w:hint="default" w:ascii="Calibri" w:hAnsi="Calibri" w:eastAsia="Calibri" w:cs="Times New Roman"/>
          <w:b/>
          <w:lang w:val="bs-Latn-BA"/>
        </w:rPr>
        <w:t>3.3.</w:t>
      </w:r>
      <w:r>
        <w:rPr>
          <w:rFonts w:ascii="Calibri" w:hAnsi="Calibri" w:eastAsia="Calibri" w:cs="Times New Roman"/>
          <w:b/>
        </w:rPr>
        <w:t>2023. Godine</w:t>
      </w:r>
    </w:p>
    <w:p>
      <w:pPr>
        <w:pStyle w:val="9"/>
        <w:jc w:val="center"/>
      </w:pPr>
    </w:p>
    <w:p>
      <w:pPr>
        <w:pStyle w:val="9"/>
        <w:jc w:val="center"/>
      </w:pPr>
    </w:p>
    <w:p>
      <w:pPr>
        <w:pStyle w:val="9"/>
        <w:jc w:val="center"/>
      </w:pPr>
    </w:p>
    <w:p>
      <w:pPr>
        <w:pStyle w:val="9"/>
        <w:jc w:val="center"/>
      </w:pPr>
    </w:p>
    <w:p>
      <w:pPr>
        <w:pStyle w:val="9"/>
        <w:jc w:val="center"/>
      </w:pPr>
    </w:p>
    <w:p>
      <w:pPr>
        <w:pStyle w:val="9"/>
        <w:jc w:val="center"/>
      </w:pPr>
    </w:p>
    <w:p>
      <w:pPr>
        <w:pStyle w:val="9"/>
        <w:jc w:val="center"/>
      </w:pPr>
    </w:p>
    <w:p>
      <w:pPr>
        <w:pStyle w:val="9"/>
        <w:jc w:val="center"/>
      </w:pPr>
    </w:p>
    <w:p>
      <w:pPr>
        <w:pStyle w:val="9"/>
        <w:jc w:val="center"/>
      </w:pPr>
      <w:r>
        <w:t xml:space="preserve">Na osnovu člana </w:t>
      </w:r>
      <w:r>
        <w:rPr>
          <w:rFonts w:hint="default"/>
          <w:lang w:val="bs-Latn-BA"/>
        </w:rPr>
        <w:t>16.</w:t>
      </w:r>
      <w:r>
        <w:t xml:space="preserve"> Statuta Udruženja sekretara osnovnih škola TK, Skupština udruženja na svojoj sjednici održanoj dana </w:t>
      </w:r>
      <w:r>
        <w:rPr>
          <w:rFonts w:hint="default"/>
          <w:lang w:val="bs-Latn-BA"/>
        </w:rPr>
        <w:t xml:space="preserve">3.3. </w:t>
      </w:r>
      <w:r>
        <w:t>2023. godine u Tuzli donosi:</w:t>
      </w:r>
    </w:p>
    <w:p>
      <w:pPr>
        <w:spacing w:after="0" w:line="240" w:lineRule="auto"/>
        <w:jc w:val="center"/>
        <w:rPr>
          <w:rFonts w:ascii="Calibri" w:hAnsi="Calibri" w:eastAsia="Calibri" w:cs="Times New Roman"/>
        </w:rPr>
      </w:pPr>
    </w:p>
    <w:p>
      <w:pPr>
        <w:spacing w:after="0" w:line="240" w:lineRule="auto"/>
        <w:jc w:val="center"/>
        <w:rPr>
          <w:rFonts w:eastAsia="Calibri" w:cs="Times New Roman" w:asciiTheme="majorHAnsi" w:hAnsiTheme="majorHAnsi"/>
          <w:b/>
          <w:sz w:val="28"/>
          <w:szCs w:val="28"/>
          <w:u w:val="single"/>
        </w:rPr>
      </w:pPr>
    </w:p>
    <w:p>
      <w:pPr>
        <w:spacing w:after="0" w:line="240" w:lineRule="auto"/>
        <w:jc w:val="center"/>
        <w:rPr>
          <w:rFonts w:eastAsia="Calibri" w:cs="Times New Roman" w:asciiTheme="majorHAnsi" w:hAnsiTheme="majorHAnsi"/>
          <w:b/>
          <w:sz w:val="28"/>
          <w:szCs w:val="28"/>
          <w:u w:val="single"/>
        </w:rPr>
      </w:pPr>
    </w:p>
    <w:p>
      <w:pPr>
        <w:spacing w:after="0" w:line="240" w:lineRule="auto"/>
        <w:jc w:val="center"/>
        <w:rPr>
          <w:rFonts w:eastAsia="Calibri" w:cs="Times New Roman" w:asciiTheme="majorHAnsi" w:hAnsiTheme="majorHAnsi"/>
          <w:b/>
          <w:sz w:val="28"/>
          <w:szCs w:val="28"/>
          <w:u w:val="single"/>
        </w:rPr>
      </w:pPr>
      <w:r>
        <w:rPr>
          <w:rFonts w:eastAsia="Calibri" w:cs="Times New Roman" w:asciiTheme="majorHAnsi" w:hAnsiTheme="majorHAnsi"/>
          <w:b/>
          <w:sz w:val="28"/>
          <w:szCs w:val="28"/>
          <w:u w:val="single"/>
        </w:rPr>
        <w:t>FINANSIJSKI PLAN</w:t>
      </w:r>
    </w:p>
    <w:p>
      <w:pPr>
        <w:spacing w:after="0" w:line="240" w:lineRule="auto"/>
        <w:jc w:val="center"/>
        <w:rPr>
          <w:rFonts w:eastAsia="Calibri" w:cs="Times New Roman" w:asciiTheme="majorHAnsi" w:hAnsiTheme="majorHAnsi"/>
          <w:b/>
          <w:sz w:val="28"/>
          <w:szCs w:val="28"/>
          <w:u w:val="single"/>
        </w:rPr>
      </w:pPr>
    </w:p>
    <w:p>
      <w:pPr>
        <w:spacing w:after="0" w:line="240" w:lineRule="auto"/>
        <w:jc w:val="center"/>
        <w:rPr>
          <w:rFonts w:eastAsia="Calibri" w:cs="Times New Roman" w:asciiTheme="majorHAnsi" w:hAnsiTheme="majorHAnsi"/>
          <w:b/>
          <w:u w:val="single"/>
        </w:rPr>
      </w:pPr>
      <w:r>
        <w:rPr>
          <w:rFonts w:eastAsia="Calibri" w:cs="Times New Roman" w:asciiTheme="majorHAnsi" w:hAnsiTheme="majorHAnsi"/>
          <w:b/>
          <w:u w:val="single"/>
        </w:rPr>
        <w:t xml:space="preserve"> UDRUŽENJA SEKRETARA OSNOVNIH ŠKOLA TK TUZLA ZA 2023. GODINU</w:t>
      </w:r>
    </w:p>
    <w:p>
      <w:pPr>
        <w:pStyle w:val="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pStyle w:val="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Ovim finansijskim planom utvrđuje se </w:t>
      </w:r>
      <w:r>
        <w:rPr>
          <w:b/>
          <w:sz w:val="24"/>
          <w:szCs w:val="24"/>
        </w:rPr>
        <w:t>Plan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prihoda i rashoda</w:t>
      </w:r>
      <w:r>
        <w:rPr>
          <w:sz w:val="24"/>
          <w:szCs w:val="24"/>
        </w:rPr>
        <w:t xml:space="preserve"> za realizaciju programskih ciljeva udruženja u 2023. godini. </w:t>
      </w:r>
    </w:p>
    <w:tbl>
      <w:tblPr>
        <w:tblStyle w:val="3"/>
        <w:tblW w:w="5100" w:type="pct"/>
        <w:jc w:val="center"/>
        <w:tblCellSpacing w:w="7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2"/>
        <w:gridCol w:w="7139"/>
        <w:gridCol w:w="169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7" w:hRule="atLeast"/>
          <w:tblHeader/>
          <w:tblCellSpacing w:w="7" w:type="dxa"/>
          <w:jc w:val="center"/>
        </w:trPr>
        <w:tc>
          <w:tcPr>
            <w:tcW w:w="2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bs-Latn-BA"/>
              </w:rPr>
            </w:pPr>
          </w:p>
        </w:tc>
        <w:tc>
          <w:tcPr>
            <w:tcW w:w="381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 w:cs="Times New Roman" w:asciiTheme="majorHAnsi" w:hAnsiTheme="majorHAnsi"/>
                <w:bCs/>
                <w:lang w:eastAsia="bs-Latn-BA"/>
              </w:rPr>
            </w:pPr>
            <w:r>
              <w:rPr>
                <w:rFonts w:eastAsia="Times New Roman" w:cs="Times New Roman" w:asciiTheme="majorHAnsi" w:hAnsiTheme="majorHAnsi"/>
                <w:bCs/>
                <w:lang w:eastAsia="bs-Latn-BA"/>
              </w:rPr>
              <w:t>PRIHODI</w:t>
            </w:r>
          </w:p>
        </w:tc>
        <w:tc>
          <w:tcPr>
            <w:tcW w:w="89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 w:cs="Times New Roman" w:asciiTheme="majorHAnsi" w:hAnsiTheme="majorHAnsi"/>
                <w:bCs/>
                <w:lang w:eastAsia="bs-Latn-BA"/>
              </w:rPr>
            </w:pPr>
            <w:r>
              <w:rPr>
                <w:rFonts w:eastAsia="Times New Roman" w:cs="Times New Roman" w:asciiTheme="majorHAnsi" w:hAnsiTheme="majorHAnsi"/>
                <w:bCs/>
                <w:lang w:eastAsia="bs-Latn-BA"/>
              </w:rPr>
              <w:t>IZNOSI /KM/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atLeast"/>
          <w:tblCellSpacing w:w="7" w:type="dxa"/>
          <w:jc w:val="center"/>
        </w:trPr>
        <w:tc>
          <w:tcPr>
            <w:tcW w:w="2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1</w:t>
            </w:r>
          </w:p>
        </w:tc>
        <w:tc>
          <w:tcPr>
            <w:tcW w:w="381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 ČLANARINA UDRUŽENJA</w:t>
            </w:r>
          </w:p>
        </w:tc>
        <w:tc>
          <w:tcPr>
            <w:tcW w:w="89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4.008,00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atLeast"/>
          <w:tblCellSpacing w:w="7" w:type="dxa"/>
          <w:jc w:val="center"/>
        </w:trPr>
        <w:tc>
          <w:tcPr>
            <w:tcW w:w="2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2.</w:t>
            </w:r>
          </w:p>
        </w:tc>
        <w:tc>
          <w:tcPr>
            <w:tcW w:w="381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PRENESENA SREDSTVA IZ PRETHODNE GODINE</w:t>
            </w:r>
          </w:p>
        </w:tc>
        <w:tc>
          <w:tcPr>
            <w:tcW w:w="89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3.491,90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1" w:hRule="atLeast"/>
          <w:tblCellSpacing w:w="7" w:type="dxa"/>
          <w:jc w:val="center"/>
        </w:trPr>
        <w:tc>
          <w:tcPr>
            <w:tcW w:w="2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</w:p>
        </w:tc>
        <w:tc>
          <w:tcPr>
            <w:tcW w:w="381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 w:cs="Times New Roman" w:asciiTheme="majorHAnsi" w:hAnsiTheme="majorHAnsi"/>
                <w:b/>
                <w:lang w:eastAsia="bs-Latn-BA"/>
              </w:rPr>
            </w:pPr>
            <w:r>
              <w:rPr>
                <w:rFonts w:eastAsia="Times New Roman" w:cs="Times New Roman" w:asciiTheme="majorHAnsi" w:hAnsiTheme="majorHAnsi"/>
                <w:b/>
                <w:lang w:eastAsia="bs-Latn-BA"/>
              </w:rPr>
              <w:t>U K U P N O</w:t>
            </w:r>
          </w:p>
        </w:tc>
        <w:tc>
          <w:tcPr>
            <w:tcW w:w="89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="Times New Roman" w:asciiTheme="majorHAnsi" w:hAnsiTheme="majorHAnsi"/>
                <w:b/>
                <w:lang w:eastAsia="bs-Latn-BA"/>
              </w:rPr>
            </w:pPr>
            <w:r>
              <w:rPr>
                <w:rFonts w:eastAsia="Times New Roman" w:cs="Times New Roman" w:asciiTheme="majorHAnsi" w:hAnsiTheme="majorHAnsi"/>
                <w:b/>
                <w:lang w:eastAsia="bs-Latn-BA"/>
              </w:rPr>
              <w:t>7.499,90</w:t>
            </w:r>
          </w:p>
        </w:tc>
      </w:tr>
    </w:tbl>
    <w:p>
      <w:pPr>
        <w:shd w:val="clear" w:color="auto" w:fill="FFFFFF" w:themeFill="background1"/>
        <w:rPr>
          <w:rFonts w:ascii="Calibri" w:hAnsi="Calibri" w:eastAsia="Calibri" w:cs="Times New Roman"/>
          <w:sz w:val="20"/>
          <w:szCs w:val="20"/>
        </w:rPr>
      </w:pPr>
    </w:p>
    <w:tbl>
      <w:tblPr>
        <w:tblStyle w:val="3"/>
        <w:tblW w:w="5025" w:type="pct"/>
        <w:jc w:val="center"/>
        <w:tblCellSpacing w:w="7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2"/>
        <w:gridCol w:w="7123"/>
        <w:gridCol w:w="161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8" w:hRule="atLeast"/>
          <w:tblHeader/>
          <w:tblCellSpacing w:w="7" w:type="dxa"/>
          <w:jc w:val="center"/>
        </w:trPr>
        <w:tc>
          <w:tcPr>
            <w:tcW w:w="24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bs-Latn-BA"/>
              </w:rPr>
            </w:pPr>
          </w:p>
        </w:tc>
        <w:tc>
          <w:tcPr>
            <w:tcW w:w="386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 w:cs="Times New Roman" w:asciiTheme="majorHAnsi" w:hAnsiTheme="majorHAnsi"/>
                <w:bCs/>
                <w:lang w:eastAsia="bs-Latn-BA"/>
              </w:rPr>
            </w:pPr>
            <w:r>
              <w:rPr>
                <w:rFonts w:eastAsia="Times New Roman" w:cs="Times New Roman" w:asciiTheme="majorHAnsi" w:hAnsiTheme="majorHAnsi"/>
                <w:bCs/>
                <w:lang w:eastAsia="bs-Latn-BA"/>
              </w:rPr>
              <w:t>RASHODOVNA STRANA</w:t>
            </w:r>
          </w:p>
        </w:tc>
        <w:tc>
          <w:tcPr>
            <w:tcW w:w="86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bs-Latn-BA"/>
              </w:rPr>
            </w:pPr>
            <w:r>
              <w:rPr>
                <w:rFonts w:eastAsia="Times New Roman" w:cs="Times New Roman" w:asciiTheme="majorHAnsi" w:hAnsiTheme="majorHAnsi"/>
                <w:bCs/>
                <w:lang w:eastAsia="bs-Latn-BA"/>
              </w:rPr>
              <w:t>IZNOSI /KM/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1.</w:t>
            </w:r>
          </w:p>
        </w:tc>
        <w:tc>
          <w:tcPr>
            <w:tcW w:w="386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>OBAVEZE IZ PRETHODNE GODINE</w:t>
            </w:r>
          </w:p>
        </w:tc>
        <w:tc>
          <w:tcPr>
            <w:tcW w:w="86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131,00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2</w:t>
            </w:r>
          </w:p>
        </w:tc>
        <w:tc>
          <w:tcPr>
            <w:tcW w:w="386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TROŠKOVI PRETPLATE NA ČASOPISE/PORTAL RECKO</w:t>
            </w:r>
          </w:p>
        </w:tc>
        <w:tc>
          <w:tcPr>
            <w:tcW w:w="86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830,00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3.</w:t>
            </w:r>
          </w:p>
        </w:tc>
        <w:tc>
          <w:tcPr>
            <w:tcW w:w="386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>NABAVKA STRUČNIH ČASOPISA</w:t>
            </w:r>
          </w:p>
        </w:tc>
        <w:tc>
          <w:tcPr>
            <w:tcW w:w="86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396,00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4.</w:t>
            </w:r>
          </w:p>
        </w:tc>
        <w:tc>
          <w:tcPr>
            <w:tcW w:w="386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>ODLASCI NA SEMINAR</w:t>
            </w:r>
          </w:p>
        </w:tc>
        <w:tc>
          <w:tcPr>
            <w:tcW w:w="86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800,00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8" w:hRule="atLeast"/>
          <w:tblCellSpacing w:w="7" w:type="dxa"/>
          <w:jc w:val="center"/>
        </w:trPr>
        <w:tc>
          <w:tcPr>
            <w:tcW w:w="24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5</w:t>
            </w:r>
          </w:p>
        </w:tc>
        <w:tc>
          <w:tcPr>
            <w:tcW w:w="386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ZAKUPNINA KANCELARIJE U OKVIRU ŠKOLE KREKA   (12 X 5,00)</w:t>
            </w:r>
          </w:p>
        </w:tc>
        <w:tc>
          <w:tcPr>
            <w:tcW w:w="86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60,00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6.</w:t>
            </w:r>
          </w:p>
        </w:tc>
        <w:tc>
          <w:tcPr>
            <w:tcW w:w="386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PROVIZIJE BANKE  (MJESEČNE NAKNADE I TRANSAKCIJE)</w:t>
            </w:r>
          </w:p>
        </w:tc>
        <w:tc>
          <w:tcPr>
            <w:tcW w:w="86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300,00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8" w:hRule="atLeast"/>
          <w:tblCellSpacing w:w="7" w:type="dxa"/>
          <w:jc w:val="center"/>
        </w:trPr>
        <w:tc>
          <w:tcPr>
            <w:tcW w:w="24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7.</w:t>
            </w:r>
          </w:p>
        </w:tc>
        <w:tc>
          <w:tcPr>
            <w:tcW w:w="386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TROŠKOVI WEB STRANICE (DOMENA I HOSTING)</w:t>
            </w:r>
          </w:p>
        </w:tc>
        <w:tc>
          <w:tcPr>
            <w:tcW w:w="86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162,40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8" w:hRule="atLeast"/>
          <w:tblCellSpacing w:w="7" w:type="dxa"/>
          <w:jc w:val="center"/>
        </w:trPr>
        <w:tc>
          <w:tcPr>
            <w:tcW w:w="24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8.</w:t>
            </w:r>
          </w:p>
        </w:tc>
        <w:tc>
          <w:tcPr>
            <w:tcW w:w="386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OVJERA Z. RAČUNA I USLUGE KNJIGOVODE</w:t>
            </w:r>
          </w:p>
        </w:tc>
        <w:tc>
          <w:tcPr>
            <w:tcW w:w="86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220,00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8" w:hRule="atLeast"/>
          <w:tblCellSpacing w:w="7" w:type="dxa"/>
          <w:jc w:val="center"/>
        </w:trPr>
        <w:tc>
          <w:tcPr>
            <w:tcW w:w="24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9.</w:t>
            </w:r>
          </w:p>
        </w:tc>
        <w:tc>
          <w:tcPr>
            <w:tcW w:w="386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KANCELARIJA, MATERIJALNI TROŠKOVI</w:t>
            </w:r>
          </w:p>
        </w:tc>
        <w:tc>
          <w:tcPr>
            <w:tcW w:w="86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100,00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10.</w:t>
            </w:r>
          </w:p>
        </w:tc>
        <w:tc>
          <w:tcPr>
            <w:tcW w:w="386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DRUŽENJE I IZLETI </w:t>
            </w:r>
          </w:p>
        </w:tc>
        <w:tc>
          <w:tcPr>
            <w:tcW w:w="86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2.000,00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11.</w:t>
            </w:r>
          </w:p>
        </w:tc>
        <w:tc>
          <w:tcPr>
            <w:tcW w:w="386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REPREZENTACIJA</w:t>
            </w:r>
          </w:p>
        </w:tc>
        <w:tc>
          <w:tcPr>
            <w:tcW w:w="86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300,00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12.</w:t>
            </w:r>
          </w:p>
        </w:tc>
        <w:tc>
          <w:tcPr>
            <w:tcW w:w="386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>ŠTAMPANJE  PROMOTIVNOG  MATERIJALA (KALENDARI I ROKOVNICI)</w:t>
            </w:r>
          </w:p>
        </w:tc>
        <w:tc>
          <w:tcPr>
            <w:tcW w:w="86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806,60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13.</w:t>
            </w:r>
          </w:p>
        </w:tc>
        <w:tc>
          <w:tcPr>
            <w:tcW w:w="386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>TAKSE I OVJERE KOPIJA</w:t>
            </w:r>
          </w:p>
        </w:tc>
        <w:tc>
          <w:tcPr>
            <w:tcW w:w="86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50,00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 w:cs="Times New Roman" w:asciiTheme="majorHAnsi" w:hAnsiTheme="majorHAnsi"/>
                <w:lang w:eastAsia="bs-Latn-BA"/>
              </w:rPr>
            </w:pPr>
          </w:p>
        </w:tc>
        <w:tc>
          <w:tcPr>
            <w:tcW w:w="386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 w:cs="Times New Roman" w:asciiTheme="majorHAnsi" w:hAnsiTheme="majorHAnsi"/>
                <w:b/>
                <w:lang w:eastAsia="bs-Latn-BA"/>
              </w:rPr>
            </w:pPr>
            <w:r>
              <w:rPr>
                <w:rFonts w:eastAsia="Times New Roman" w:cs="Times New Roman" w:asciiTheme="majorHAnsi" w:hAnsiTheme="majorHAnsi"/>
                <w:b/>
                <w:lang w:eastAsia="bs-Latn-BA"/>
              </w:rPr>
              <w:t>U K U P N O</w:t>
            </w:r>
          </w:p>
        </w:tc>
        <w:tc>
          <w:tcPr>
            <w:tcW w:w="86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="Times New Roman" w:asciiTheme="majorHAnsi" w:hAnsiTheme="majorHAnsi"/>
                <w:b/>
                <w:sz w:val="24"/>
                <w:szCs w:val="24"/>
                <w:lang w:eastAsia="bs-Latn-BA"/>
              </w:rPr>
            </w:pPr>
            <w:r>
              <w:rPr>
                <w:rFonts w:eastAsia="Times New Roman" w:cs="Times New Roman" w:asciiTheme="majorHAnsi" w:hAnsiTheme="majorHAnsi"/>
                <w:b/>
                <w:sz w:val="24"/>
                <w:szCs w:val="24"/>
                <w:lang w:eastAsia="bs-Latn-BA"/>
              </w:rPr>
              <w:t xml:space="preserve">=6.156,00 </w:t>
            </w:r>
          </w:p>
        </w:tc>
      </w:tr>
    </w:tbl>
    <w:p>
      <w:pPr>
        <w:jc w:val="center"/>
        <w:rPr>
          <w:rFonts w:asciiTheme="majorHAnsi" w:hAnsiTheme="majorHAnsi"/>
          <w:b/>
          <w:sz w:val="28"/>
          <w:szCs w:val="28"/>
        </w:rPr>
      </w:pPr>
    </w:p>
    <w:p>
      <w:pPr>
        <w:jc w:val="center"/>
        <w:rPr>
          <w:rFonts w:asciiTheme="majorHAnsi" w:hAnsiTheme="majorHAnsi"/>
          <w:b/>
          <w:sz w:val="28"/>
          <w:szCs w:val="28"/>
        </w:rPr>
      </w:pPr>
    </w:p>
    <w:p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POJAŠNJENJE  PRIHODA I RASHODA</w:t>
      </w:r>
    </w:p>
    <w:p>
      <w:pPr>
        <w:jc w:val="center"/>
        <w:rPr>
          <w:rFonts w:asciiTheme="majorHAnsi" w:hAnsiTheme="majorHAnsi"/>
        </w:rPr>
      </w:pPr>
    </w:p>
    <w:p>
      <w:pPr>
        <w:pStyle w:val="7"/>
        <w:jc w:val="right"/>
        <w:rPr>
          <w:sz w:val="32"/>
          <w:szCs w:val="32"/>
        </w:rPr>
      </w:pPr>
      <w:r>
        <w:rPr>
          <w:sz w:val="32"/>
          <w:szCs w:val="32"/>
        </w:rPr>
        <w:t>Prihodi</w:t>
      </w:r>
    </w:p>
    <w:p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 ovaj Plan prihoda uvrštene su samo one stavke koje su realne i sigurno ostvarive.</w:t>
      </w:r>
    </w:p>
    <w:p>
      <w:pPr>
        <w:jc w:val="both"/>
        <w:rPr>
          <w:rFonts w:cstheme="minorHAnsi"/>
          <w:sz w:val="16"/>
          <w:szCs w:val="16"/>
        </w:rPr>
      </w:pPr>
    </w:p>
    <w:p>
      <w:pPr>
        <w:pStyle w:val="10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Članarina  =4.008,00  KM, odnosno 334,00 KM mjesečno</w:t>
      </w:r>
    </w:p>
    <w:p>
      <w:pPr>
        <w:pStyle w:val="10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Preneseni višak prihoda iz prethodne godine u iznosu od 3.491,90 KM</w:t>
      </w:r>
    </w:p>
    <w:p>
      <w:pPr>
        <w:jc w:val="both"/>
        <w:rPr>
          <w:rFonts w:cstheme="minorHAnsi"/>
          <w:sz w:val="24"/>
          <w:szCs w:val="24"/>
        </w:rPr>
      </w:pPr>
    </w:p>
    <w:p>
      <w:pPr>
        <w:jc w:val="both"/>
        <w:rPr>
          <w:rFonts w:asciiTheme="majorHAnsi" w:hAnsiTheme="majorHAnsi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7"/>
        <w:jc w:val="right"/>
        <w:rPr>
          <w:sz w:val="32"/>
          <w:szCs w:val="32"/>
        </w:rPr>
      </w:pPr>
      <w:r>
        <w:rPr>
          <w:sz w:val="32"/>
          <w:szCs w:val="32"/>
        </w:rPr>
        <w:t>Rashodi: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Kada je riječ o rashodovnoj strani ovog Finansijskog plana udruženja za 2023. godinu, može se konstatovati da je on manji od  prihodovne strane ovog Plana.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Rashodi prikazani u tabeli pod rednim brojem 1. su prenešene obaveze iz 2022. godinu, a odnose se na troškove ispraćaja u penziju kolegice Bećirović Mirsade.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Rashodi prikazani u tabeli pod rednim brojevima .,2.,5.,  i 7. su fiksni na godišnjem nivou i plaća se </w:t>
      </w:r>
    </w:p>
    <w:p>
      <w:pPr>
        <w:pStyle w:val="9"/>
        <w:rPr>
          <w:sz w:val="24"/>
          <w:szCs w:val="24"/>
        </w:rPr>
      </w:pPr>
      <w:r>
        <w:rPr>
          <w:sz w:val="24"/>
          <w:szCs w:val="24"/>
        </w:rPr>
        <w:t xml:space="preserve">a)Troškovi pretplate na časopise i portal RECko  = </w:t>
      </w:r>
      <w:r>
        <w:rPr>
          <w:rFonts w:eastAsia="Times New Roman" w:cstheme="minorHAnsi"/>
          <w:sz w:val="24"/>
          <w:szCs w:val="24"/>
          <w:lang w:eastAsia="bs-Latn-BA"/>
        </w:rPr>
        <w:t>830,00 KM</w:t>
      </w:r>
      <w:r>
        <w:rPr>
          <w:sz w:val="24"/>
          <w:szCs w:val="24"/>
        </w:rPr>
        <w:t xml:space="preserve"> </w:t>
      </w:r>
    </w:p>
    <w:p>
      <w:pPr>
        <w:pStyle w:val="9"/>
        <w:rPr>
          <w:rFonts w:eastAsia="Times New Roman" w:cstheme="minorHAnsi"/>
          <w:sz w:val="24"/>
          <w:szCs w:val="24"/>
          <w:lang w:eastAsia="bs-Latn-BA"/>
        </w:rPr>
      </w:pPr>
      <w:r>
        <w:rPr>
          <w:sz w:val="24"/>
          <w:szCs w:val="24"/>
        </w:rPr>
        <w:t xml:space="preserve">b) </w:t>
      </w:r>
      <w:r>
        <w:rPr>
          <w:rFonts w:eastAsia="Times New Roman" w:cstheme="minorHAnsi"/>
          <w:sz w:val="24"/>
          <w:szCs w:val="24"/>
          <w:lang w:eastAsia="bs-Latn-BA"/>
        </w:rPr>
        <w:t>Zakupnina kancelarije u okviru  škole Kreka   = 60,00,00 KM</w:t>
      </w:r>
    </w:p>
    <w:p>
      <w:pPr>
        <w:pStyle w:val="9"/>
        <w:rPr>
          <w:sz w:val="24"/>
          <w:szCs w:val="24"/>
        </w:rPr>
      </w:pPr>
      <w:r>
        <w:rPr>
          <w:sz w:val="24"/>
          <w:szCs w:val="24"/>
        </w:rPr>
        <w:t>d)Troškovi web stranice = 162,40,00 KM</w:t>
      </w:r>
    </w:p>
    <w:p>
      <w:pPr>
        <w:pStyle w:val="9"/>
        <w:rPr>
          <w:sz w:val="24"/>
          <w:szCs w:val="24"/>
        </w:rPr>
      </w:pPr>
    </w:p>
    <w:p>
      <w:pPr>
        <w:pStyle w:val="9"/>
        <w:rPr>
          <w:sz w:val="24"/>
          <w:szCs w:val="24"/>
        </w:rPr>
      </w:pPr>
      <w:r>
        <w:rPr>
          <w:sz w:val="24"/>
          <w:szCs w:val="24"/>
        </w:rPr>
        <w:t>Rashodi pod rednim brojevima 3. i 4. su nabavka stručnih časopisa i odlasci na seminar planiran za 4 člana udruženja u skladu sa potrebama i aktuelnim pitanjima od značaja za naš rad.</w:t>
      </w:r>
    </w:p>
    <w:p>
      <w:pPr>
        <w:jc w:val="both"/>
        <w:rPr>
          <w:sz w:val="24"/>
          <w:szCs w:val="24"/>
        </w:rPr>
      </w:pP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Rahodi pod rednim brojem 6. su naknada za vođenje računa u iznosu od 20,00 KM mjesečno, te provizije za izvršene transakcije koje zavise od broja i iznosa izvršenih transakcija sa našeg žiro računa.</w:t>
      </w:r>
    </w:p>
    <w:p>
      <w:pPr>
        <w:jc w:val="both"/>
        <w:rPr>
          <w:sz w:val="24"/>
          <w:szCs w:val="24"/>
        </w:rPr>
      </w:pPr>
    </w:p>
    <w:p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Rahodi pod rednim brojem 8. su izrada i </w:t>
      </w:r>
      <w:r>
        <w:rPr>
          <w:rFonts w:eastAsia="Times New Roman" w:cstheme="minorHAnsi"/>
          <w:sz w:val="24"/>
          <w:szCs w:val="24"/>
          <w:lang w:eastAsia="bs-Latn-BA"/>
        </w:rPr>
        <w:t xml:space="preserve">ovjera završnog računa i usluge knjigovođe. </w:t>
      </w:r>
      <w:r>
        <w:rPr>
          <w:sz w:val="24"/>
          <w:szCs w:val="24"/>
        </w:rPr>
        <w:t xml:space="preserve">Ovi troškovi su na godišnjem nivou i plaća se izrada i ovjera našeg završnog računa = 150,00 KM, plus uplata takse Agenciji FIA, prilikom predaje računa = 70,00 KM. 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Rahodi pod rednim brojem 9. su </w:t>
      </w:r>
      <w:r>
        <w:rPr>
          <w:rFonts w:eastAsia="Times New Roman" w:cstheme="minorHAnsi"/>
          <w:sz w:val="24"/>
          <w:szCs w:val="24"/>
          <w:lang w:eastAsia="bs-Latn-BA"/>
        </w:rPr>
        <w:t>kancelarijski troškovi</w:t>
      </w:r>
      <w:r>
        <w:rPr>
          <w:sz w:val="24"/>
          <w:szCs w:val="24"/>
        </w:rPr>
        <w:t xml:space="preserve"> = 100,00 KM. Ovi rashodi su definirani okvirno, jer nemoguće je pretpostaviti tačan iznos potrebnih kancelarijskih potrepština koje će zatrebati u toku jedne godine, a u koje spadaju: papir za printanje, toner, fascikle, koverte, obrasci i td. </w:t>
      </w:r>
    </w:p>
    <w:p>
      <w:pPr>
        <w:rPr>
          <w:sz w:val="24"/>
          <w:szCs w:val="24"/>
        </w:rPr>
      </w:pP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Rahodi pod rednim brojem 10. su predviđeni troškovi druženja članova udruženja, odnosno jedan odlazak na izlet po dogovoru članova udruženja.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Rashodi pod rednim brojem 11. su troškovi reprezentacije za održavanje Skupštine Udruženja.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Rashodi pod rednim brojem 12. su troškovi za naručivanje štampanja kalendra i rokovnika sa logom udruženja za članove udruženja i poslovne saradnike. 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Rashodi pod rednim brojem 13. su troškovi taksi za  izvod iz registra udruženja i ovjere kopija završnog računa za dosije u banci kod koje nam je otvoren žiro-račun.</w:t>
      </w:r>
    </w:p>
    <w:p>
      <w:pPr>
        <w:jc w:val="both"/>
        <w:rPr>
          <w:rFonts w:hint="default"/>
          <w:sz w:val="24"/>
          <w:szCs w:val="24"/>
          <w:lang w:val="bs-Latn-BA"/>
        </w:rPr>
      </w:pPr>
      <w:r>
        <w:rPr>
          <w:sz w:val="24"/>
          <w:szCs w:val="24"/>
        </w:rPr>
        <w:t xml:space="preserve">Ovaj plan je prijedlog koji će se razmatrati na Skupštini Udruženja. Određene stavke rahoda mogu se izmjeniti, te se mogu uvrstiti i novi prijedlozi. </w:t>
      </w:r>
      <w:r>
        <w:rPr>
          <w:rFonts w:hint="default"/>
          <w:sz w:val="24"/>
          <w:szCs w:val="24"/>
          <w:lang w:val="bs-Latn-BA"/>
        </w:rPr>
        <w:t xml:space="preserve"> </w:t>
      </w:r>
    </w:p>
    <w:p>
      <w:pPr>
        <w:jc w:val="both"/>
        <w:rPr>
          <w:sz w:val="24"/>
          <w:szCs w:val="24"/>
          <w:u w:val="single"/>
        </w:rPr>
      </w:pPr>
      <w:r>
        <w:rPr>
          <w:rFonts w:hint="default"/>
          <w:sz w:val="24"/>
          <w:szCs w:val="24"/>
          <w:u w:val="single"/>
          <w:lang w:val="bs-Latn-BA"/>
        </w:rPr>
        <w:t xml:space="preserve">Ovim putem </w:t>
      </w:r>
      <w:r>
        <w:rPr>
          <w:sz w:val="24"/>
          <w:szCs w:val="24"/>
          <w:u w:val="single"/>
        </w:rPr>
        <w:t>Skupština da</w:t>
      </w:r>
      <w:r>
        <w:rPr>
          <w:rFonts w:hint="default"/>
          <w:sz w:val="24"/>
          <w:szCs w:val="24"/>
          <w:u w:val="single"/>
          <w:lang w:val="bs-Latn-BA"/>
        </w:rPr>
        <w:t xml:space="preserve">je </w:t>
      </w:r>
      <w:r>
        <w:rPr>
          <w:sz w:val="24"/>
          <w:szCs w:val="24"/>
          <w:u w:val="single"/>
        </w:rPr>
        <w:t xml:space="preserve"> ovlaštenje Upravnom odboru da, u okviru raspoloživih sredstava, može realizivati određene nabavke roba i usluga koje nisu predviđene planom, a ukazala se potreba za istim, pod uslovom da ne remete izvršavanje planiranih i osnovnih nabavki predviđenih planom.</w:t>
      </w:r>
    </w:p>
    <w:p>
      <w:pPr>
        <w:jc w:val="both"/>
        <w:rPr>
          <w:sz w:val="24"/>
          <w:szCs w:val="24"/>
        </w:rPr>
      </w:pPr>
    </w:p>
    <w:p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Tuzla:</w:t>
      </w:r>
      <w:r>
        <w:rPr>
          <w:rFonts w:hint="default"/>
          <w:i/>
          <w:iCs/>
          <w:sz w:val="18"/>
          <w:szCs w:val="18"/>
          <w:lang w:val="bs-Latn-BA"/>
        </w:rPr>
        <w:t>03.03.2023.g</w:t>
      </w:r>
      <w:r>
        <w:rPr>
          <w:i/>
          <w:iCs/>
          <w:sz w:val="18"/>
          <w:szCs w:val="18"/>
        </w:rPr>
        <w:t xml:space="preserve"> </w:t>
      </w:r>
      <w:bookmarkStart w:id="0" w:name="_GoBack"/>
      <w:bookmarkEnd w:id="0"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spacing w:after="0" w:line="240" w:lineRule="auto"/>
        <w:jc w:val="center"/>
        <w:rPr>
          <w:rFonts w:hint="default" w:ascii="Cambria" w:hAnsi="Cambria" w:eastAsia="Times New Roman"/>
          <w:b/>
          <w:i w:val="0"/>
          <w:iCs/>
          <w:color w:val="000000"/>
          <w:sz w:val="24"/>
          <w:szCs w:val="24"/>
          <w:lang w:val="bs-Latn-BA"/>
        </w:rPr>
      </w:pPr>
      <w:r>
        <w:rPr>
          <w:rFonts w:hint="default" w:ascii="Cambria" w:hAnsi="Cambria" w:eastAsia="Times New Roman"/>
          <w:b/>
          <w:i w:val="0"/>
          <w:iCs/>
          <w:color w:val="000000"/>
          <w:sz w:val="24"/>
          <w:szCs w:val="24"/>
          <w:lang w:val="bs-Latn-BA"/>
        </w:rPr>
        <w:t xml:space="preserve">                                                                                                                   </w:t>
      </w:r>
      <w:r>
        <w:rPr>
          <w:rFonts w:ascii="Cambria" w:hAnsi="Cambria" w:eastAsia="Times New Roman"/>
          <w:b/>
          <w:i w:val="0"/>
          <w:iCs/>
          <w:color w:val="000000"/>
          <w:sz w:val="24"/>
          <w:szCs w:val="24"/>
        </w:rPr>
        <w:t xml:space="preserve">Predsjednik </w:t>
      </w:r>
      <w:r>
        <w:rPr>
          <w:rFonts w:hint="default" w:ascii="Cambria" w:hAnsi="Cambria" w:eastAsia="Times New Roman"/>
          <w:b/>
          <w:i w:val="0"/>
          <w:iCs/>
          <w:color w:val="000000"/>
          <w:sz w:val="24"/>
          <w:szCs w:val="24"/>
          <w:lang w:val="bs-Latn-BA"/>
        </w:rPr>
        <w:t>Skupštine</w:t>
      </w:r>
    </w:p>
    <w:p>
      <w:pPr>
        <w:spacing w:after="0" w:line="240" w:lineRule="auto"/>
        <w:jc w:val="center"/>
        <w:rPr>
          <w:rFonts w:ascii="Cambria" w:hAnsi="Cambria" w:eastAsia="Times New Roman"/>
          <w:b/>
          <w:i/>
          <w:color w:val="000000"/>
          <w:sz w:val="16"/>
          <w:szCs w:val="16"/>
        </w:rPr>
      </w:pPr>
      <w:r>
        <w:rPr>
          <w:rFonts w:hint="default" w:ascii="Cambria" w:hAnsi="Cambria" w:eastAsia="Times New Roman"/>
          <w:b/>
          <w:i/>
          <w:color w:val="000000"/>
          <w:sz w:val="16"/>
          <w:szCs w:val="16"/>
          <w:lang w:val="bs-Latn-BA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rFonts w:ascii="Cambria" w:hAnsi="Cambria" w:eastAsia="Times New Roman"/>
          <w:b/>
          <w:i/>
          <w:color w:val="000000"/>
          <w:sz w:val="16"/>
          <w:szCs w:val="16"/>
        </w:rPr>
        <w:t>__________________________</w:t>
      </w:r>
      <w:r>
        <w:rPr>
          <w:rFonts w:hint="default" w:ascii="Cambria" w:hAnsi="Cambria" w:eastAsia="Times New Roman"/>
          <w:b/>
          <w:i/>
          <w:color w:val="000000"/>
          <w:sz w:val="16"/>
          <w:szCs w:val="16"/>
          <w:lang w:val="bs-Latn-BA"/>
        </w:rPr>
        <w:t>____________________</w:t>
      </w:r>
      <w:r>
        <w:rPr>
          <w:rFonts w:ascii="Cambria" w:hAnsi="Cambria" w:eastAsia="Times New Roman"/>
          <w:b/>
          <w:i/>
          <w:color w:val="000000"/>
          <w:sz w:val="16"/>
          <w:szCs w:val="16"/>
        </w:rPr>
        <w:t>_</w:t>
      </w:r>
    </w:p>
    <w:p>
      <w:pPr>
        <w:shd w:val="clear" w:color="auto" w:fill="FFFFFF" w:themeFill="background1"/>
        <w:jc w:val="right"/>
        <w:rPr>
          <w:rFonts w:ascii="Cambria" w:hAnsi="Cambria" w:eastAsia="Times New Roman"/>
          <w:i/>
          <w:color w:val="000000"/>
          <w:sz w:val="20"/>
          <w:szCs w:val="20"/>
        </w:rPr>
      </w:pPr>
      <w:r>
        <w:rPr>
          <w:rFonts w:ascii="Cambria" w:hAnsi="Cambria" w:eastAsia="Times New Roman"/>
          <w:b/>
          <w:bCs/>
          <w:i w:val="0"/>
          <w:iCs/>
          <w:color w:val="000000"/>
          <w:sz w:val="20"/>
          <w:szCs w:val="20"/>
        </w:rPr>
        <w:t>/</w:t>
      </w:r>
      <w:r>
        <w:rPr>
          <w:rFonts w:hint="default" w:ascii="Cambria" w:hAnsi="Cambria" w:eastAsia="Times New Roman"/>
          <w:b/>
          <w:bCs/>
          <w:i w:val="0"/>
          <w:iCs/>
          <w:color w:val="000000"/>
          <w:sz w:val="20"/>
          <w:szCs w:val="20"/>
          <w:lang w:val="bs-Latn-BA"/>
        </w:rPr>
        <w:t>Divković Dražan dipl.pravnik</w:t>
      </w:r>
      <w:r>
        <w:rPr>
          <w:rFonts w:ascii="Cambria" w:hAnsi="Cambria" w:eastAsia="Times New Roman"/>
          <w:b/>
          <w:bCs/>
          <w:i w:val="0"/>
          <w:iCs/>
          <w:color w:val="000000"/>
          <w:sz w:val="20"/>
          <w:szCs w:val="20"/>
        </w:rPr>
        <w:t xml:space="preserve">/  </w:t>
      </w:r>
      <w:r>
        <w:rPr>
          <w:rFonts w:ascii="Cambria" w:hAnsi="Cambria" w:eastAsia="Times New Roman"/>
          <w:i/>
          <w:color w:val="000000"/>
          <w:sz w:val="20"/>
          <w:szCs w:val="20"/>
        </w:rPr>
        <w:t xml:space="preserve"> </w:t>
      </w:r>
    </w:p>
    <w:p>
      <w:pPr>
        <w:shd w:val="clear" w:color="auto" w:fill="FFFFFF" w:themeFill="background1"/>
        <w:jc w:val="right"/>
        <w:rPr>
          <w:rFonts w:ascii="Cambria" w:hAnsi="Cambria" w:eastAsia="Times New Roman"/>
          <w:i/>
          <w:color w:val="000000"/>
          <w:sz w:val="20"/>
          <w:szCs w:val="20"/>
        </w:rPr>
      </w:pPr>
    </w:p>
    <w:p>
      <w:pPr>
        <w:shd w:val="clear" w:color="auto" w:fill="FFFFFF" w:themeFill="background1"/>
        <w:jc w:val="right"/>
        <w:rPr>
          <w:rFonts w:ascii="Cambria" w:hAnsi="Cambria" w:eastAsia="Times New Roman"/>
          <w:i/>
          <w:color w:val="000000"/>
          <w:sz w:val="20"/>
          <w:szCs w:val="20"/>
        </w:rPr>
      </w:pPr>
    </w:p>
    <w:p>
      <w:pPr>
        <w:shd w:val="clear" w:color="auto" w:fill="FFFFFF" w:themeFill="background1"/>
        <w:jc w:val="right"/>
        <w:rPr>
          <w:rFonts w:ascii="Cambria" w:hAnsi="Cambria" w:eastAsia="Times New Roman"/>
          <w:i/>
          <w:color w:val="000000"/>
          <w:sz w:val="20"/>
          <w:szCs w:val="20"/>
        </w:rPr>
      </w:pPr>
    </w:p>
    <w:p>
      <w:pPr>
        <w:shd w:val="clear" w:color="auto" w:fill="FFFFFF" w:themeFill="background1"/>
        <w:jc w:val="right"/>
        <w:rPr>
          <w:rFonts w:ascii="Cambria" w:hAnsi="Cambria" w:eastAsia="Times New Roman"/>
          <w:i/>
          <w:color w:val="000000"/>
          <w:sz w:val="20"/>
          <w:szCs w:val="20"/>
        </w:rPr>
      </w:pPr>
    </w:p>
    <w:p>
      <w:pPr>
        <w:shd w:val="clear" w:color="auto" w:fill="FFFFFF" w:themeFill="background1"/>
        <w:jc w:val="right"/>
        <w:rPr>
          <w:rFonts w:ascii="Cambria" w:hAnsi="Cambria" w:eastAsia="Times New Roman"/>
          <w:i/>
          <w:color w:val="000000"/>
          <w:sz w:val="20"/>
          <w:szCs w:val="20"/>
        </w:rPr>
      </w:pPr>
    </w:p>
    <w:p>
      <w:pPr>
        <w:tabs>
          <w:tab w:val="left" w:pos="3780"/>
        </w:tabs>
        <w:rPr>
          <w:rFonts w:eastAsia="Times New Roman" w:cstheme="minorHAnsi"/>
          <w:sz w:val="24"/>
          <w:szCs w:val="24"/>
        </w:rPr>
      </w:pPr>
    </w:p>
    <w:sectPr>
      <w:footerReference r:id="rId5" w:type="default"/>
      <w:pgSz w:w="11906" w:h="16838"/>
      <w:pgMar w:top="1417" w:right="1417" w:bottom="1417" w:left="1417" w:header="708" w:footer="708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EE"/>
    <w:family w:val="roman"/>
    <w:pitch w:val="default"/>
    <w:sig w:usb0="E00002FF" w:usb1="400004FF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82084377"/>
      <w:docPartObj>
        <w:docPartGallery w:val="autotext"/>
      </w:docPartObj>
    </w:sdtPr>
    <w:sdtContent>
      <w:p>
        <w:pPr>
          <w:pStyle w:val="5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56571C"/>
    <w:multiLevelType w:val="multilevel"/>
    <w:tmpl w:val="5356571C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A7A"/>
    <w:rsid w:val="0003375A"/>
    <w:rsid w:val="00043E5A"/>
    <w:rsid w:val="0005431A"/>
    <w:rsid w:val="0005451C"/>
    <w:rsid w:val="000618EA"/>
    <w:rsid w:val="00062790"/>
    <w:rsid w:val="000A0BAA"/>
    <w:rsid w:val="000B16C5"/>
    <w:rsid w:val="000D35AA"/>
    <w:rsid w:val="000E4790"/>
    <w:rsid w:val="000E68AD"/>
    <w:rsid w:val="00100B32"/>
    <w:rsid w:val="001232D1"/>
    <w:rsid w:val="00127192"/>
    <w:rsid w:val="00134942"/>
    <w:rsid w:val="001422A4"/>
    <w:rsid w:val="00144D3D"/>
    <w:rsid w:val="001463F2"/>
    <w:rsid w:val="0016242D"/>
    <w:rsid w:val="001663EA"/>
    <w:rsid w:val="00177439"/>
    <w:rsid w:val="001878E2"/>
    <w:rsid w:val="00195344"/>
    <w:rsid w:val="00197A2A"/>
    <w:rsid w:val="001A185B"/>
    <w:rsid w:val="001A35C0"/>
    <w:rsid w:val="001B56BB"/>
    <w:rsid w:val="001D002A"/>
    <w:rsid w:val="001D7940"/>
    <w:rsid w:val="001E1C45"/>
    <w:rsid w:val="001F2BA6"/>
    <w:rsid w:val="001F529D"/>
    <w:rsid w:val="00204B2D"/>
    <w:rsid w:val="00216D42"/>
    <w:rsid w:val="00232BCA"/>
    <w:rsid w:val="00240819"/>
    <w:rsid w:val="00250522"/>
    <w:rsid w:val="00256DB1"/>
    <w:rsid w:val="002711C7"/>
    <w:rsid w:val="0029358F"/>
    <w:rsid w:val="002945A6"/>
    <w:rsid w:val="002C5883"/>
    <w:rsid w:val="00313FC7"/>
    <w:rsid w:val="003310C6"/>
    <w:rsid w:val="00345452"/>
    <w:rsid w:val="003541C6"/>
    <w:rsid w:val="00361E1E"/>
    <w:rsid w:val="00371DFB"/>
    <w:rsid w:val="003748AF"/>
    <w:rsid w:val="00381BF7"/>
    <w:rsid w:val="00385F08"/>
    <w:rsid w:val="003A0269"/>
    <w:rsid w:val="003C067F"/>
    <w:rsid w:val="003C23FD"/>
    <w:rsid w:val="003D7FD4"/>
    <w:rsid w:val="003E0760"/>
    <w:rsid w:val="003E4CAF"/>
    <w:rsid w:val="003F087F"/>
    <w:rsid w:val="00410CED"/>
    <w:rsid w:val="00420FC1"/>
    <w:rsid w:val="00421351"/>
    <w:rsid w:val="004240BA"/>
    <w:rsid w:val="0043227E"/>
    <w:rsid w:val="00441E59"/>
    <w:rsid w:val="00467135"/>
    <w:rsid w:val="0048724A"/>
    <w:rsid w:val="004B1E2A"/>
    <w:rsid w:val="004D1F8E"/>
    <w:rsid w:val="004D779B"/>
    <w:rsid w:val="004E3773"/>
    <w:rsid w:val="00507E04"/>
    <w:rsid w:val="00517EA1"/>
    <w:rsid w:val="00527EAF"/>
    <w:rsid w:val="00544EA0"/>
    <w:rsid w:val="0055685E"/>
    <w:rsid w:val="005633AF"/>
    <w:rsid w:val="00571D86"/>
    <w:rsid w:val="00596BAC"/>
    <w:rsid w:val="005B350B"/>
    <w:rsid w:val="005C2422"/>
    <w:rsid w:val="005D4324"/>
    <w:rsid w:val="005F30D8"/>
    <w:rsid w:val="005F7443"/>
    <w:rsid w:val="006015FD"/>
    <w:rsid w:val="006178E0"/>
    <w:rsid w:val="006200EB"/>
    <w:rsid w:val="0064788F"/>
    <w:rsid w:val="00660F49"/>
    <w:rsid w:val="00664961"/>
    <w:rsid w:val="00666A73"/>
    <w:rsid w:val="00670804"/>
    <w:rsid w:val="00676308"/>
    <w:rsid w:val="00686C7A"/>
    <w:rsid w:val="00691576"/>
    <w:rsid w:val="0069613E"/>
    <w:rsid w:val="0069614F"/>
    <w:rsid w:val="00697DFA"/>
    <w:rsid w:val="006A67C3"/>
    <w:rsid w:val="006B2FEC"/>
    <w:rsid w:val="006B7F1A"/>
    <w:rsid w:val="006C315C"/>
    <w:rsid w:val="006C46E3"/>
    <w:rsid w:val="006D5F4A"/>
    <w:rsid w:val="00716430"/>
    <w:rsid w:val="00724F79"/>
    <w:rsid w:val="00735D8E"/>
    <w:rsid w:val="00745727"/>
    <w:rsid w:val="0075099E"/>
    <w:rsid w:val="0075331D"/>
    <w:rsid w:val="0076302E"/>
    <w:rsid w:val="0076434C"/>
    <w:rsid w:val="0077735A"/>
    <w:rsid w:val="00781029"/>
    <w:rsid w:val="00790D73"/>
    <w:rsid w:val="007A72C9"/>
    <w:rsid w:val="007B5E26"/>
    <w:rsid w:val="007E2C4A"/>
    <w:rsid w:val="00816513"/>
    <w:rsid w:val="008177B5"/>
    <w:rsid w:val="00821A7A"/>
    <w:rsid w:val="008403C1"/>
    <w:rsid w:val="0084538F"/>
    <w:rsid w:val="008629ED"/>
    <w:rsid w:val="008632E3"/>
    <w:rsid w:val="00877CE3"/>
    <w:rsid w:val="00890AD1"/>
    <w:rsid w:val="008A02BB"/>
    <w:rsid w:val="008A2568"/>
    <w:rsid w:val="008B0C9E"/>
    <w:rsid w:val="008C5D22"/>
    <w:rsid w:val="008E4E64"/>
    <w:rsid w:val="008F0AEB"/>
    <w:rsid w:val="0090061D"/>
    <w:rsid w:val="00901873"/>
    <w:rsid w:val="00902383"/>
    <w:rsid w:val="009159F3"/>
    <w:rsid w:val="00917D10"/>
    <w:rsid w:val="00922A46"/>
    <w:rsid w:val="00922C3A"/>
    <w:rsid w:val="00922E4A"/>
    <w:rsid w:val="00925A03"/>
    <w:rsid w:val="009312D1"/>
    <w:rsid w:val="00935C2D"/>
    <w:rsid w:val="00936EC4"/>
    <w:rsid w:val="00945F2B"/>
    <w:rsid w:val="0096568B"/>
    <w:rsid w:val="00987F76"/>
    <w:rsid w:val="009A1912"/>
    <w:rsid w:val="009A53A3"/>
    <w:rsid w:val="009B1FF6"/>
    <w:rsid w:val="009D0FC2"/>
    <w:rsid w:val="009D15F7"/>
    <w:rsid w:val="009E74F1"/>
    <w:rsid w:val="00A11A38"/>
    <w:rsid w:val="00A11CAC"/>
    <w:rsid w:val="00A13937"/>
    <w:rsid w:val="00A244F4"/>
    <w:rsid w:val="00A25907"/>
    <w:rsid w:val="00A37CD4"/>
    <w:rsid w:val="00A40FC3"/>
    <w:rsid w:val="00A479F2"/>
    <w:rsid w:val="00A66442"/>
    <w:rsid w:val="00A9218C"/>
    <w:rsid w:val="00AA5E29"/>
    <w:rsid w:val="00AA664D"/>
    <w:rsid w:val="00AB2A74"/>
    <w:rsid w:val="00AD1D40"/>
    <w:rsid w:val="00AE465A"/>
    <w:rsid w:val="00B026F4"/>
    <w:rsid w:val="00B059AF"/>
    <w:rsid w:val="00B24B6C"/>
    <w:rsid w:val="00B337D4"/>
    <w:rsid w:val="00B44CFB"/>
    <w:rsid w:val="00B65A42"/>
    <w:rsid w:val="00B70FD0"/>
    <w:rsid w:val="00B757D6"/>
    <w:rsid w:val="00B76265"/>
    <w:rsid w:val="00BC143C"/>
    <w:rsid w:val="00BD60D6"/>
    <w:rsid w:val="00BE6132"/>
    <w:rsid w:val="00BE65CE"/>
    <w:rsid w:val="00C36958"/>
    <w:rsid w:val="00C400A4"/>
    <w:rsid w:val="00C400AC"/>
    <w:rsid w:val="00C50B31"/>
    <w:rsid w:val="00C54947"/>
    <w:rsid w:val="00C54CEE"/>
    <w:rsid w:val="00C5709D"/>
    <w:rsid w:val="00C60F80"/>
    <w:rsid w:val="00C739FF"/>
    <w:rsid w:val="00C863D4"/>
    <w:rsid w:val="00C871BB"/>
    <w:rsid w:val="00C87A08"/>
    <w:rsid w:val="00CA383E"/>
    <w:rsid w:val="00CB2AF8"/>
    <w:rsid w:val="00CC2C46"/>
    <w:rsid w:val="00CC4E64"/>
    <w:rsid w:val="00CD3023"/>
    <w:rsid w:val="00CD612F"/>
    <w:rsid w:val="00CF30F3"/>
    <w:rsid w:val="00D7473F"/>
    <w:rsid w:val="00D80728"/>
    <w:rsid w:val="00D81B1B"/>
    <w:rsid w:val="00D8301C"/>
    <w:rsid w:val="00D95F4A"/>
    <w:rsid w:val="00DF6C1A"/>
    <w:rsid w:val="00E2648E"/>
    <w:rsid w:val="00E27E29"/>
    <w:rsid w:val="00E51A2E"/>
    <w:rsid w:val="00E51F51"/>
    <w:rsid w:val="00E86B3B"/>
    <w:rsid w:val="00EA28EF"/>
    <w:rsid w:val="00EA6065"/>
    <w:rsid w:val="00EB7ED9"/>
    <w:rsid w:val="00ED0273"/>
    <w:rsid w:val="00EE7F70"/>
    <w:rsid w:val="00EF73B9"/>
    <w:rsid w:val="00EF7D6E"/>
    <w:rsid w:val="00F17775"/>
    <w:rsid w:val="00F35F64"/>
    <w:rsid w:val="00F97643"/>
    <w:rsid w:val="00FA56C3"/>
    <w:rsid w:val="00FB2696"/>
    <w:rsid w:val="00FC2BB8"/>
    <w:rsid w:val="00FF209D"/>
    <w:rsid w:val="232B35F3"/>
    <w:rsid w:val="2DF04BE5"/>
    <w:rsid w:val="4B4D023E"/>
    <w:rsid w:val="6295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bs-Latn-BA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footer"/>
    <w:basedOn w:val="1"/>
    <w:link w:val="13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12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7">
    <w:name w:val="Title"/>
    <w:basedOn w:val="1"/>
    <w:next w:val="1"/>
    <w:link w:val="1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8">
    <w:name w:val="Balloon Text Char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styleId="9">
    <w:name w:val="No Spacing"/>
    <w:link w:val="14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bs-Latn-BA" w:eastAsia="en-US" w:bidi="ar-SA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Title Char"/>
    <w:basedOn w:val="2"/>
    <w:link w:val="7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2">
    <w:name w:val="Header Char"/>
    <w:basedOn w:val="2"/>
    <w:link w:val="6"/>
    <w:uiPriority w:val="99"/>
  </w:style>
  <w:style w:type="character" w:customStyle="1" w:styleId="13">
    <w:name w:val="Footer Char"/>
    <w:basedOn w:val="2"/>
    <w:link w:val="5"/>
    <w:uiPriority w:val="99"/>
  </w:style>
  <w:style w:type="character" w:customStyle="1" w:styleId="14">
    <w:name w:val="No Spacing Char"/>
    <w:basedOn w:val="2"/>
    <w:link w:val="9"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ema">
  <a:themeElements>
    <a:clrScheme name="Ured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ed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Ured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39284B4A-0921-46B8-AED3-2FEC7B544BC6}">
  <ds:schemaRefs/>
</ds:datastoreItem>
</file>

<file path=customXml/itemProps2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618</Words>
  <Characters>3523</Characters>
  <Lines>29</Lines>
  <Paragraphs>8</Paragraphs>
  <TotalTime>128</TotalTime>
  <ScaleCrop>false</ScaleCrop>
  <LinksUpToDate>false</LinksUpToDate>
  <CharactersWithSpaces>4133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2018-12-20T08:55:00Z</dcterms:created>
  <dc:creator>admin</dc:creator>
  <cp:lastModifiedBy>Gigabyte</cp:lastModifiedBy>
  <cp:lastPrinted>2023-02-22T11:59:00Z</cp:lastPrinted>
  <dcterms:modified xsi:type="dcterms:W3CDTF">2023-02-23T11:35:27Z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B68188AA1C2D497C90D810EB17755F7F</vt:lpwstr>
  </property>
</Properties>
</file>